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DD4490">
        <w:rPr>
          <w:rFonts w:asciiTheme="minorHAnsi" w:eastAsia="MS Mincho" w:hAnsiTheme="minorHAnsi" w:cs="Arial"/>
          <w:noProof w:val="0"/>
          <w:sz w:val="24"/>
          <w:szCs w:val="24"/>
        </w:rPr>
        <w:t>R4-1911325</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D31512">
        <w:rPr>
          <w:rFonts w:cs="Arial"/>
          <w:b/>
          <w:bCs/>
        </w:rPr>
        <w:t>8</w:t>
      </w:r>
      <w:r w:rsidR="002769A4">
        <w:rPr>
          <w:rFonts w:cs="Arial"/>
          <w:b/>
          <w:bCs/>
        </w:rPr>
        <w:t>.1.</w:t>
      </w:r>
      <w:r w:rsidR="00D31512">
        <w:rPr>
          <w:rFonts w:cs="Arial"/>
          <w:b/>
          <w:bCs/>
        </w:rPr>
        <w:t>4.</w:t>
      </w:r>
      <w:r w:rsidR="002769A4">
        <w:rPr>
          <w:rFonts w:cs="Arial"/>
          <w:b/>
          <w:bCs/>
        </w:rPr>
        <w:t>9</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683CF4">
        <w:rPr>
          <w:b/>
        </w:rPr>
        <w:t>RRM measurement requirement for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rsidR="0090012D" w:rsidRDefault="0014336E" w:rsidP="001E3BD8">
      <w:pPr>
        <w:jc w:val="both"/>
      </w:pPr>
      <w:r>
        <w:t xml:space="preserve">In RAN4-92 meeting, </w:t>
      </w:r>
      <w:r w:rsidR="00037F0A">
        <w:t>intra-/inter-frequency</w:t>
      </w:r>
      <w:r w:rsidR="00D84218" w:rsidRPr="00D84218">
        <w:t xml:space="preserve"> </w:t>
      </w:r>
      <w:r w:rsidR="00037F0A">
        <w:t xml:space="preserve">measurement period </w:t>
      </w:r>
      <w:r w:rsidR="000E7C3D">
        <w:t xml:space="preserve">for NR-U </w:t>
      </w:r>
      <w:r w:rsidR="00037F0A">
        <w:t xml:space="preserve">have been provided and the scaling factor, CSSF, has also been discussed </w:t>
      </w:r>
      <w:r>
        <w:t>in the WF</w:t>
      </w:r>
      <w:r w:rsidR="001E3BD8">
        <w:t xml:space="preserve"> [1]</w:t>
      </w:r>
      <w:r w:rsidR="006734ED">
        <w:t xml:space="preserve">. In this paper, </w:t>
      </w:r>
      <w:r w:rsidR="00C54FBA">
        <w:t xml:space="preserve">the </w:t>
      </w:r>
      <w:r w:rsidR="00037F0A">
        <w:t xml:space="preserve">observations and views on </w:t>
      </w:r>
      <w:r w:rsidR="00037F0A" w:rsidRPr="00037F0A">
        <w:t>measurement requirement are provided</w:t>
      </w:r>
      <w:r w:rsidR="00F463CD" w:rsidRPr="00F463CD">
        <w:t xml:space="preserve"> </w:t>
      </w:r>
      <w:r w:rsidR="00F463CD" w:rsidRPr="00037F0A">
        <w:t>for NR-U</w:t>
      </w:r>
      <w:r w:rsidR="006734ED" w:rsidRPr="00037F0A">
        <w:t>.</w:t>
      </w:r>
      <w:r w:rsidR="006734ED"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28623E" w:rsidRDefault="0028623E" w:rsidP="00F87B6C">
      <w:pPr>
        <w:jc w:val="both"/>
      </w:pPr>
      <w:r>
        <w:t xml:space="preserve">The intra-/inter-frequency measurement period have been provided and extended according to the </w:t>
      </w:r>
      <w:r w:rsidRPr="00245A67">
        <w:t xml:space="preserve">number of </w:t>
      </w:r>
      <w:r>
        <w:t>DRS occasions</w:t>
      </w:r>
      <w:r w:rsidRPr="00245A67">
        <w:t xml:space="preserve"> not available at the UE</w:t>
      </w:r>
      <w:r>
        <w:t xml:space="preserve">. Since the </w:t>
      </w:r>
      <w:r w:rsidRPr="00245A67">
        <w:t xml:space="preserve">number of </w:t>
      </w:r>
      <w:r>
        <w:t>missed DRS occasions is cell-specific, the requirement will be also cell-specific. One example is provide</w:t>
      </w:r>
      <w:r w:rsidR="00853BEB">
        <w:t>d</w:t>
      </w:r>
      <w:r>
        <w:t xml:space="preserve"> in Figure 1, where there are 2 cells (Cell#2 and Cell#3) on f2 and the green circles indicate the carriers schedule</w:t>
      </w:r>
      <w:r w:rsidR="00FF2952">
        <w:t>d</w:t>
      </w:r>
      <w:r>
        <w:t xml:space="preserve"> by a </w:t>
      </w:r>
      <w:r w:rsidR="00AE6312">
        <w:t>given</w:t>
      </w:r>
      <w:r>
        <w:t xml:space="preserve"> UE scheduling</w:t>
      </w:r>
      <w:r w:rsidR="00AE6312">
        <w:t xml:space="preserve"> (</w:t>
      </w:r>
      <w:r w:rsidR="00FF2952">
        <w:t xml:space="preserve">i.e. </w:t>
      </w:r>
      <w:r w:rsidR="00AE6312">
        <w:t>Scheduling #1</w:t>
      </w:r>
      <w:r w:rsidR="00FF2952">
        <w:t xml:space="preserve"> in Figure 1</w:t>
      </w:r>
      <w:r w:rsidR="00AE6312">
        <w:t>)</w:t>
      </w:r>
      <w:r>
        <w:t xml:space="preserve">. It can observe that </w:t>
      </w:r>
      <w:r w:rsidR="00FF2952">
        <w:t xml:space="preserve">there </w:t>
      </w:r>
      <w:r>
        <w:t xml:space="preserve">are 1 and 7 </w:t>
      </w:r>
      <w:r w:rsidR="00FF2952">
        <w:t xml:space="preserve">missed DRS occasions </w:t>
      </w:r>
      <w:r>
        <w:t xml:space="preserve">for Cell#2 and Cell#3, respectively. </w:t>
      </w:r>
    </w:p>
    <w:p w:rsidR="00B75560" w:rsidRDefault="0028623E" w:rsidP="00FC02EE">
      <w:pPr>
        <w:jc w:val="both"/>
        <w:rPr>
          <w:rFonts w:ascii="Calibri" w:eastAsia="SimSun" w:hAnsi="Calibri" w:cs="Arial"/>
          <w:b/>
          <w:bCs/>
        </w:rPr>
      </w:pPr>
      <w:bookmarkStart w:id="3" w:name="_Ref21025392"/>
      <w:r w:rsidRPr="009F1BCD">
        <w:rPr>
          <w:rFonts w:ascii="Calibri" w:eastAsia="SimSun" w:hAnsi="Calibri" w:cs="Arial"/>
          <w:b/>
          <w:bCs/>
        </w:rPr>
        <w:t xml:space="preserve">Observation </w:t>
      </w:r>
      <w:r w:rsidR="00B5307F" w:rsidRPr="009F1BCD">
        <w:rPr>
          <w:rFonts w:ascii="Calibri" w:eastAsia="SimSun" w:hAnsi="Calibri" w:cs="Arial"/>
          <w:b/>
          <w:bCs/>
        </w:rPr>
        <w:fldChar w:fldCharType="begin"/>
      </w:r>
      <w:r w:rsidRPr="009F1BCD">
        <w:rPr>
          <w:rFonts w:ascii="Calibri" w:eastAsia="SimSun" w:hAnsi="Calibri" w:cs="Arial"/>
          <w:b/>
          <w:bCs/>
        </w:rPr>
        <w:instrText xml:space="preserve"> SEQ Observation \* ARABIC </w:instrText>
      </w:r>
      <w:r w:rsidR="00B5307F" w:rsidRPr="009F1BCD">
        <w:rPr>
          <w:rFonts w:ascii="Calibri" w:eastAsia="SimSun" w:hAnsi="Calibri" w:cs="Arial"/>
          <w:b/>
          <w:bCs/>
        </w:rPr>
        <w:fldChar w:fldCharType="separate"/>
      </w:r>
      <w:r w:rsidR="00C26442">
        <w:rPr>
          <w:rFonts w:ascii="Calibri" w:eastAsia="SimSun" w:hAnsi="Calibri" w:cs="Arial"/>
          <w:b/>
          <w:bCs/>
          <w:noProof/>
        </w:rPr>
        <w:t>1</w:t>
      </w:r>
      <w:r w:rsidR="00B5307F" w:rsidRPr="009F1BCD">
        <w:rPr>
          <w:rFonts w:ascii="Calibri" w:eastAsia="SimSun" w:hAnsi="Calibri" w:cs="Arial"/>
          <w:b/>
          <w:bCs/>
        </w:rPr>
        <w:fldChar w:fldCharType="end"/>
      </w:r>
      <w:r w:rsidRPr="009F1BCD">
        <w:rPr>
          <w:rFonts w:ascii="Calibri" w:eastAsia="SimSun" w:hAnsi="Calibri" w:cs="Arial"/>
          <w:b/>
          <w:bCs/>
        </w:rPr>
        <w:t xml:space="preserve">: </w:t>
      </w:r>
      <w:r w:rsidRPr="0028623E">
        <w:rPr>
          <w:rFonts w:ascii="Calibri" w:eastAsia="SimSun" w:hAnsi="Calibri" w:cs="Arial"/>
          <w:b/>
          <w:bCs/>
        </w:rPr>
        <w:t>The intra-/inter-frequency measurement period requirements are cell-specific</w:t>
      </w:r>
      <w:r w:rsidRPr="009F1BCD">
        <w:rPr>
          <w:rFonts w:ascii="Calibri" w:eastAsia="SimSun" w:hAnsi="Calibri" w:cs="Arial"/>
          <w:b/>
          <w:bCs/>
        </w:rPr>
        <w:t>.</w:t>
      </w:r>
      <w:bookmarkEnd w:id="3"/>
    </w:p>
    <w:p w:rsidR="00AE6312" w:rsidRDefault="00AE6312" w:rsidP="00FC02EE">
      <w:pPr>
        <w:jc w:val="both"/>
        <w:rPr>
          <w:rFonts w:ascii="Calibri" w:eastAsia="SimSun" w:hAnsi="Calibri" w:cs="Arial"/>
          <w:b/>
          <w:bCs/>
        </w:rPr>
      </w:pPr>
    </w:p>
    <w:p w:rsidR="00B75560" w:rsidRDefault="00B75560" w:rsidP="00FC02EE">
      <w:pPr>
        <w:jc w:val="both"/>
        <w:rPr>
          <w:rFonts w:ascii="Calibri" w:eastAsia="SimSun" w:hAnsi="Calibri" w:cs="Arial"/>
          <w:b/>
          <w:bCs/>
        </w:rPr>
      </w:pPr>
      <w:r>
        <w:rPr>
          <w:rFonts w:ascii="Calibri" w:eastAsia="SimSun" w:hAnsi="Calibri" w:cs="Arial"/>
          <w:b/>
          <w:bCs/>
          <w:noProof/>
          <w:lang w:eastAsia="zh-TW"/>
        </w:rPr>
        <w:drawing>
          <wp:inline distT="0" distB="0" distL="0" distR="0">
            <wp:extent cx="6115050" cy="13779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1377950"/>
                    </a:xfrm>
                    <a:prstGeom prst="rect">
                      <a:avLst/>
                    </a:prstGeom>
                    <a:noFill/>
                    <a:ln>
                      <a:noFill/>
                    </a:ln>
                  </pic:spPr>
                </pic:pic>
              </a:graphicData>
            </a:graphic>
          </wp:inline>
        </w:drawing>
      </w:r>
      <w:r>
        <w:rPr>
          <w:rFonts w:ascii="Calibri" w:eastAsia="SimSun" w:hAnsi="Calibri" w:cs="Arial"/>
          <w:b/>
          <w:bCs/>
          <w:noProof/>
          <w:lang w:eastAsia="zh-TW"/>
        </w:rPr>
        <w:drawing>
          <wp:inline distT="0" distB="0" distL="0" distR="0">
            <wp:extent cx="1854200" cy="16616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8410" cy="179083"/>
                    </a:xfrm>
                    <a:prstGeom prst="rect">
                      <a:avLst/>
                    </a:prstGeom>
                    <a:noFill/>
                    <a:ln>
                      <a:noFill/>
                    </a:ln>
                  </pic:spPr>
                </pic:pic>
              </a:graphicData>
            </a:graphic>
          </wp:inline>
        </w:drawing>
      </w:r>
    </w:p>
    <w:p w:rsidR="00B75560" w:rsidRDefault="00B75560" w:rsidP="00B75560">
      <w:pPr>
        <w:pStyle w:val="af5"/>
        <w:ind w:left="360"/>
        <w:jc w:val="center"/>
      </w:pPr>
      <w:r w:rsidRPr="002146AA">
        <w:rPr>
          <w:rFonts w:ascii="Calibri" w:eastAsia="SimSun" w:hAnsi="Calibri" w:cs="Arial"/>
          <w:bCs/>
        </w:rPr>
        <w:t xml:space="preserve">Figure </w:t>
      </w:r>
      <w:r w:rsidR="00B5307F" w:rsidRPr="002146AA">
        <w:rPr>
          <w:rFonts w:ascii="Calibri" w:eastAsia="SimSun" w:hAnsi="Calibri" w:cs="Arial"/>
          <w:bCs/>
        </w:rPr>
        <w:fldChar w:fldCharType="begin"/>
      </w:r>
      <w:r w:rsidRPr="002146AA">
        <w:rPr>
          <w:rFonts w:ascii="Calibri" w:eastAsia="SimSun" w:hAnsi="Calibri" w:cs="Arial"/>
          <w:bCs/>
        </w:rPr>
        <w:instrText xml:space="preserve"> SEQ Figure \* ARABIC </w:instrText>
      </w:r>
      <w:r w:rsidR="00B5307F" w:rsidRPr="002146AA">
        <w:rPr>
          <w:rFonts w:ascii="Calibri" w:eastAsia="SimSun" w:hAnsi="Calibri" w:cs="Arial"/>
          <w:bCs/>
        </w:rPr>
        <w:fldChar w:fldCharType="separate"/>
      </w:r>
      <w:r w:rsidR="00C26442">
        <w:rPr>
          <w:rFonts w:ascii="Calibri" w:eastAsia="SimSun" w:hAnsi="Calibri" w:cs="Arial"/>
          <w:bCs/>
          <w:noProof/>
        </w:rPr>
        <w:t>1</w:t>
      </w:r>
      <w:r w:rsidR="00B5307F" w:rsidRPr="002146AA">
        <w:rPr>
          <w:rFonts w:ascii="Calibri" w:eastAsia="SimSun" w:hAnsi="Calibri" w:cs="Arial"/>
          <w:bCs/>
        </w:rPr>
        <w:fldChar w:fldCharType="end"/>
      </w:r>
      <w:r w:rsidRPr="002146AA">
        <w:rPr>
          <w:rFonts w:ascii="Calibri" w:eastAsia="SimSun" w:hAnsi="Calibri" w:cs="Arial"/>
          <w:bCs/>
        </w:rPr>
        <w:t xml:space="preserve">. </w:t>
      </w:r>
      <w:r w:rsidR="00F9010A">
        <w:t xml:space="preserve">Example of the </w:t>
      </w:r>
      <w:r w:rsidR="00F9010A" w:rsidRPr="00245A67">
        <w:t xml:space="preserve">number of </w:t>
      </w:r>
      <w:r w:rsidR="00F9010A">
        <w:t>DRS occasions</w:t>
      </w:r>
      <w:r w:rsidR="00F9010A" w:rsidRPr="00245A67">
        <w:t xml:space="preserve"> not available at the UE</w:t>
      </w:r>
      <w:r w:rsidR="00F9010A">
        <w:t xml:space="preserve"> (Scheduling #1)</w:t>
      </w:r>
    </w:p>
    <w:p w:rsidR="00AE6312" w:rsidRDefault="00AE6312" w:rsidP="00B75560">
      <w:pPr>
        <w:pStyle w:val="af5"/>
        <w:ind w:left="360"/>
        <w:jc w:val="center"/>
      </w:pPr>
    </w:p>
    <w:p w:rsidR="00800D7B" w:rsidRDefault="00800D7B">
      <w:pPr>
        <w:spacing w:after="0" w:line="240" w:lineRule="auto"/>
      </w:pPr>
      <w:r>
        <w:br w:type="page"/>
      </w:r>
    </w:p>
    <w:p w:rsidR="00B11729" w:rsidRDefault="00B11729" w:rsidP="00AE6312">
      <w:pPr>
        <w:jc w:val="both"/>
      </w:pPr>
      <w:r>
        <w:lastRenderedPageBreak/>
        <w:t>Besides</w:t>
      </w:r>
      <w:r w:rsidR="00FF2952">
        <w:t xml:space="preserve">, </w:t>
      </w:r>
      <w:r w:rsidR="00AE6312">
        <w:t xml:space="preserve">the requirement is also depending on the </w:t>
      </w:r>
      <w:r w:rsidR="00AE6312" w:rsidRPr="00245A67">
        <w:t>UE</w:t>
      </w:r>
      <w:r w:rsidR="00AE6312">
        <w:t xml:space="preserve"> scheduling. In Figure 2, it gives the same pattern of gap occasion</w:t>
      </w:r>
      <w:r w:rsidR="00FF2952">
        <w:t>s</w:t>
      </w:r>
      <w:r w:rsidR="00AE6312">
        <w:t xml:space="preserve"> and missed DRS occasions</w:t>
      </w:r>
      <w:r w:rsidR="00FF2952">
        <w:t xml:space="preserve"> as Figure 1, but </w:t>
      </w:r>
      <w:r w:rsidR="00AE6312">
        <w:t>different UE scheduling results (</w:t>
      </w:r>
      <w:r w:rsidR="00FF2952">
        <w:t xml:space="preserve">i.e. </w:t>
      </w:r>
      <w:r w:rsidR="00AE6312">
        <w:t>Scheduling #2)</w:t>
      </w:r>
      <w:r w:rsidR="00FF2952">
        <w:t xml:space="preserve"> is applied</w:t>
      </w:r>
      <w:r w:rsidR="00AE6312">
        <w:t>.</w:t>
      </w:r>
      <w:r w:rsidR="00FF2952">
        <w:t xml:space="preserve"> And, t</w:t>
      </w:r>
      <w:r w:rsidR="00AE6312" w:rsidRPr="00AE6312">
        <w:t>he number of DRS occasions not available at the UE</w:t>
      </w:r>
      <w:r w:rsidR="00AE6312">
        <w:t xml:space="preserve"> </w:t>
      </w:r>
      <w:r w:rsidR="00AE6312" w:rsidRPr="00AE6312">
        <w:t>in Figure 1 and Figure 2</w:t>
      </w:r>
      <w:r w:rsidR="00AE6312">
        <w:t xml:space="preserve"> is summarized in Table 1. </w:t>
      </w:r>
      <w:r w:rsidR="00800D7B">
        <w:t>It can observe that the number</w:t>
      </w:r>
      <w:r w:rsidR="00E47CA0">
        <w:t>s</w:t>
      </w:r>
      <w:r w:rsidR="00800D7B">
        <w:t xml:space="preserve"> of missed DRS occasions are different between UE Scheduling #1 and UE Scheduling #2.</w:t>
      </w:r>
      <w:r>
        <w:t xml:space="preserve"> </w:t>
      </w:r>
    </w:p>
    <w:p w:rsidR="00E47CA0" w:rsidRDefault="00E47CA0" w:rsidP="00E47CA0">
      <w:pPr>
        <w:jc w:val="both"/>
        <w:rPr>
          <w:rFonts w:ascii="Calibri" w:eastAsia="SimSun" w:hAnsi="Calibri" w:cs="Arial"/>
          <w:b/>
          <w:bCs/>
        </w:rPr>
      </w:pPr>
      <w:bookmarkStart w:id="4" w:name="_Ref21025396"/>
      <w:r w:rsidRPr="009F1BCD">
        <w:rPr>
          <w:rFonts w:ascii="Calibri" w:eastAsia="SimSun" w:hAnsi="Calibri" w:cs="Arial"/>
          <w:b/>
          <w:bCs/>
        </w:rPr>
        <w:t xml:space="preserve">Observation </w:t>
      </w:r>
      <w:r w:rsidR="00B5307F" w:rsidRPr="009F1BCD">
        <w:rPr>
          <w:rFonts w:ascii="Calibri" w:eastAsia="SimSun" w:hAnsi="Calibri" w:cs="Arial"/>
          <w:b/>
          <w:bCs/>
        </w:rPr>
        <w:fldChar w:fldCharType="begin"/>
      </w:r>
      <w:r w:rsidRPr="009F1BCD">
        <w:rPr>
          <w:rFonts w:ascii="Calibri" w:eastAsia="SimSun" w:hAnsi="Calibri" w:cs="Arial"/>
          <w:b/>
          <w:bCs/>
        </w:rPr>
        <w:instrText xml:space="preserve"> SEQ Observation \* ARABIC </w:instrText>
      </w:r>
      <w:r w:rsidR="00B5307F" w:rsidRPr="009F1BCD">
        <w:rPr>
          <w:rFonts w:ascii="Calibri" w:eastAsia="SimSun" w:hAnsi="Calibri" w:cs="Arial"/>
          <w:b/>
          <w:bCs/>
        </w:rPr>
        <w:fldChar w:fldCharType="separate"/>
      </w:r>
      <w:r w:rsidR="00C26442">
        <w:rPr>
          <w:rFonts w:ascii="Calibri" w:eastAsia="SimSun" w:hAnsi="Calibri" w:cs="Arial"/>
          <w:b/>
          <w:bCs/>
          <w:noProof/>
        </w:rPr>
        <w:t>2</w:t>
      </w:r>
      <w:r w:rsidR="00B5307F" w:rsidRPr="009F1BCD">
        <w:rPr>
          <w:rFonts w:ascii="Calibri" w:eastAsia="SimSun" w:hAnsi="Calibri" w:cs="Arial"/>
          <w:b/>
          <w:bCs/>
        </w:rPr>
        <w:fldChar w:fldCharType="end"/>
      </w:r>
      <w:r w:rsidRPr="009F1BCD">
        <w:rPr>
          <w:rFonts w:ascii="Calibri" w:eastAsia="SimSun" w:hAnsi="Calibri" w:cs="Arial"/>
          <w:b/>
          <w:bCs/>
        </w:rPr>
        <w:t xml:space="preserve">: </w:t>
      </w:r>
      <w:r w:rsidRPr="0028623E">
        <w:rPr>
          <w:rFonts w:ascii="Calibri" w:eastAsia="SimSun" w:hAnsi="Calibri" w:cs="Arial"/>
          <w:b/>
          <w:bCs/>
        </w:rPr>
        <w:t xml:space="preserve">The intra-/inter-frequency measurement period requirements are </w:t>
      </w:r>
      <w:r>
        <w:rPr>
          <w:rFonts w:ascii="Calibri" w:eastAsia="SimSun" w:hAnsi="Calibri" w:cs="Arial"/>
          <w:b/>
          <w:bCs/>
        </w:rPr>
        <w:t>depending on UE scheduling results</w:t>
      </w:r>
      <w:r w:rsidRPr="009F1BCD">
        <w:rPr>
          <w:rFonts w:ascii="Calibri" w:eastAsia="SimSun" w:hAnsi="Calibri" w:cs="Arial"/>
          <w:b/>
          <w:bCs/>
        </w:rPr>
        <w:t>.</w:t>
      </w:r>
      <w:bookmarkEnd w:id="4"/>
    </w:p>
    <w:p w:rsidR="00AE6312" w:rsidRPr="00800D7B" w:rsidRDefault="00AE6312" w:rsidP="00AE6312">
      <w:pPr>
        <w:pStyle w:val="af5"/>
        <w:ind w:left="360"/>
      </w:pPr>
    </w:p>
    <w:p w:rsidR="00416E04" w:rsidRDefault="00B75560" w:rsidP="00FC02EE">
      <w:pPr>
        <w:jc w:val="both"/>
        <w:rPr>
          <w:rFonts w:ascii="Calibri" w:eastAsia="SimSun" w:hAnsi="Calibri" w:cs="Arial"/>
          <w:b/>
          <w:bCs/>
        </w:rPr>
      </w:pPr>
      <w:r>
        <w:rPr>
          <w:rFonts w:ascii="Calibri" w:eastAsia="SimSun" w:hAnsi="Calibri" w:cs="Arial"/>
          <w:b/>
          <w:bCs/>
          <w:noProof/>
          <w:lang w:eastAsia="zh-TW"/>
        </w:rPr>
        <w:drawing>
          <wp:inline distT="0" distB="0" distL="0" distR="0">
            <wp:extent cx="6121400" cy="1397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397000"/>
                    </a:xfrm>
                    <a:prstGeom prst="rect">
                      <a:avLst/>
                    </a:prstGeom>
                    <a:noFill/>
                    <a:ln>
                      <a:noFill/>
                    </a:ln>
                  </pic:spPr>
                </pic:pic>
              </a:graphicData>
            </a:graphic>
          </wp:inline>
        </w:drawing>
      </w:r>
      <w:r>
        <w:rPr>
          <w:rFonts w:ascii="Calibri" w:eastAsia="SimSun" w:hAnsi="Calibri" w:cs="Arial"/>
          <w:b/>
          <w:bCs/>
          <w:noProof/>
          <w:lang w:eastAsia="zh-TW"/>
        </w:rPr>
        <w:drawing>
          <wp:inline distT="0" distB="0" distL="0" distR="0">
            <wp:extent cx="1854200" cy="16616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8410" cy="179083"/>
                    </a:xfrm>
                    <a:prstGeom prst="rect">
                      <a:avLst/>
                    </a:prstGeom>
                    <a:noFill/>
                    <a:ln>
                      <a:noFill/>
                    </a:ln>
                  </pic:spPr>
                </pic:pic>
              </a:graphicData>
            </a:graphic>
          </wp:inline>
        </w:drawing>
      </w:r>
    </w:p>
    <w:p w:rsidR="00B75560" w:rsidRDefault="00B75560" w:rsidP="00B75560">
      <w:pPr>
        <w:pStyle w:val="af5"/>
        <w:ind w:left="360"/>
        <w:jc w:val="center"/>
        <w:rPr>
          <w:rFonts w:ascii="Calibri" w:eastAsia="SimSun" w:hAnsi="Calibri" w:cs="Arial"/>
          <w:bCs/>
        </w:rPr>
      </w:pPr>
      <w:r w:rsidRPr="002146AA">
        <w:rPr>
          <w:rFonts w:ascii="Calibri" w:eastAsia="SimSun" w:hAnsi="Calibri" w:cs="Arial"/>
          <w:bCs/>
        </w:rPr>
        <w:t xml:space="preserve">Figure </w:t>
      </w:r>
      <w:r w:rsidR="00B5307F" w:rsidRPr="002146AA">
        <w:rPr>
          <w:rFonts w:ascii="Calibri" w:eastAsia="SimSun" w:hAnsi="Calibri" w:cs="Arial"/>
          <w:bCs/>
        </w:rPr>
        <w:fldChar w:fldCharType="begin"/>
      </w:r>
      <w:r w:rsidRPr="002146AA">
        <w:rPr>
          <w:rFonts w:ascii="Calibri" w:eastAsia="SimSun" w:hAnsi="Calibri" w:cs="Arial"/>
          <w:bCs/>
        </w:rPr>
        <w:instrText xml:space="preserve"> SEQ Figure \* ARABIC </w:instrText>
      </w:r>
      <w:r w:rsidR="00B5307F" w:rsidRPr="002146AA">
        <w:rPr>
          <w:rFonts w:ascii="Calibri" w:eastAsia="SimSun" w:hAnsi="Calibri" w:cs="Arial"/>
          <w:bCs/>
        </w:rPr>
        <w:fldChar w:fldCharType="separate"/>
      </w:r>
      <w:r w:rsidR="00C26442">
        <w:rPr>
          <w:rFonts w:ascii="Calibri" w:eastAsia="SimSun" w:hAnsi="Calibri" w:cs="Arial"/>
          <w:bCs/>
          <w:noProof/>
        </w:rPr>
        <w:t>2</w:t>
      </w:r>
      <w:r w:rsidR="00B5307F" w:rsidRPr="002146AA">
        <w:rPr>
          <w:rFonts w:ascii="Calibri" w:eastAsia="SimSun" w:hAnsi="Calibri" w:cs="Arial"/>
          <w:bCs/>
        </w:rPr>
        <w:fldChar w:fldCharType="end"/>
      </w:r>
      <w:r w:rsidRPr="002146AA">
        <w:rPr>
          <w:rFonts w:ascii="Calibri" w:eastAsia="SimSun" w:hAnsi="Calibri" w:cs="Arial"/>
          <w:bCs/>
        </w:rPr>
        <w:t xml:space="preserve">. </w:t>
      </w:r>
      <w:r w:rsidR="00F9010A">
        <w:t xml:space="preserve">Example of the </w:t>
      </w:r>
      <w:r w:rsidR="00F9010A" w:rsidRPr="00245A67">
        <w:t xml:space="preserve">number of </w:t>
      </w:r>
      <w:r w:rsidR="00F9010A">
        <w:t>DRS occasions</w:t>
      </w:r>
      <w:r w:rsidR="00F9010A" w:rsidRPr="00245A67">
        <w:t xml:space="preserve"> not available at the UE</w:t>
      </w:r>
      <w:r w:rsidR="00F9010A">
        <w:t xml:space="preserve"> (Scheduling #2)</w:t>
      </w:r>
    </w:p>
    <w:p w:rsidR="00B75560" w:rsidRDefault="00B75560" w:rsidP="00B75560">
      <w:pPr>
        <w:pStyle w:val="af5"/>
        <w:ind w:left="360"/>
        <w:jc w:val="center"/>
        <w:rPr>
          <w:rFonts w:ascii="Calibri" w:eastAsia="SimSun" w:hAnsi="Calibri" w:cs="Arial"/>
          <w:bCs/>
        </w:rPr>
      </w:pPr>
    </w:p>
    <w:p w:rsidR="00B75560" w:rsidRPr="00AE6312" w:rsidRDefault="00B75560" w:rsidP="00B75560">
      <w:pPr>
        <w:pStyle w:val="af1"/>
        <w:jc w:val="center"/>
        <w:rPr>
          <w:b w:val="0"/>
          <w:sz w:val="22"/>
          <w:szCs w:val="22"/>
          <w:lang w:eastAsia="en-US"/>
        </w:rPr>
      </w:pPr>
      <w:r w:rsidRPr="00AE6312">
        <w:rPr>
          <w:b w:val="0"/>
          <w:sz w:val="22"/>
          <w:szCs w:val="22"/>
          <w:lang w:eastAsia="en-US"/>
        </w:rPr>
        <w:t xml:space="preserve">Table </w:t>
      </w:r>
      <w:r w:rsidR="00B5307F" w:rsidRPr="00AE6312">
        <w:rPr>
          <w:b w:val="0"/>
          <w:sz w:val="22"/>
          <w:szCs w:val="22"/>
          <w:lang w:eastAsia="en-US"/>
        </w:rPr>
        <w:fldChar w:fldCharType="begin"/>
      </w:r>
      <w:r w:rsidRPr="00AE6312">
        <w:rPr>
          <w:b w:val="0"/>
          <w:sz w:val="22"/>
          <w:szCs w:val="22"/>
          <w:lang w:eastAsia="en-US"/>
        </w:rPr>
        <w:instrText xml:space="preserve"> SEQ Table \* ARABIC </w:instrText>
      </w:r>
      <w:r w:rsidR="00B5307F" w:rsidRPr="00AE6312">
        <w:rPr>
          <w:b w:val="0"/>
          <w:sz w:val="22"/>
          <w:szCs w:val="22"/>
          <w:lang w:eastAsia="en-US"/>
        </w:rPr>
        <w:fldChar w:fldCharType="separate"/>
      </w:r>
      <w:r w:rsidR="00C26442">
        <w:rPr>
          <w:b w:val="0"/>
          <w:noProof/>
          <w:sz w:val="22"/>
          <w:szCs w:val="22"/>
          <w:lang w:eastAsia="en-US"/>
        </w:rPr>
        <w:t>1</w:t>
      </w:r>
      <w:r w:rsidR="00B5307F" w:rsidRPr="00AE6312">
        <w:rPr>
          <w:b w:val="0"/>
          <w:sz w:val="22"/>
          <w:szCs w:val="22"/>
          <w:lang w:eastAsia="en-US"/>
        </w:rPr>
        <w:fldChar w:fldCharType="end"/>
      </w:r>
      <w:r w:rsidR="00AE6312">
        <w:rPr>
          <w:b w:val="0"/>
          <w:sz w:val="22"/>
          <w:szCs w:val="22"/>
          <w:lang w:eastAsia="en-US"/>
        </w:rPr>
        <w:t>. N</w:t>
      </w:r>
      <w:r w:rsidR="00F9010A" w:rsidRPr="00AE6312">
        <w:rPr>
          <w:b w:val="0"/>
          <w:sz w:val="22"/>
          <w:szCs w:val="22"/>
          <w:lang w:eastAsia="en-US"/>
        </w:rPr>
        <w:t>umber of DRS occasions not available at the UE</w:t>
      </w:r>
      <w:r w:rsidR="00AE6312">
        <w:rPr>
          <w:b w:val="0"/>
          <w:sz w:val="22"/>
          <w:szCs w:val="22"/>
          <w:lang w:eastAsia="en-US"/>
        </w:rPr>
        <w:t xml:space="preserve"> in Figure 1 and Figure 2.</w:t>
      </w:r>
    </w:p>
    <w:tbl>
      <w:tblPr>
        <w:tblW w:w="4410" w:type="dxa"/>
        <w:jc w:val="center"/>
        <w:tblCellMar>
          <w:left w:w="0" w:type="dxa"/>
          <w:right w:w="0" w:type="dxa"/>
        </w:tblCellMar>
        <w:tblLook w:val="0420" w:firstRow="1" w:lastRow="0" w:firstColumn="0" w:lastColumn="0" w:noHBand="0" w:noVBand="1"/>
      </w:tblPr>
      <w:tblGrid>
        <w:gridCol w:w="1224"/>
        <w:gridCol w:w="1586"/>
        <w:gridCol w:w="1600"/>
      </w:tblGrid>
      <w:tr w:rsidR="00B75560" w:rsidRPr="00B75560" w:rsidTr="00F9010A">
        <w:trPr>
          <w:trHeight w:val="205"/>
          <w:jc w:val="center"/>
        </w:trPr>
        <w:tc>
          <w:tcPr>
            <w:tcW w:w="1224"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p>
        </w:tc>
        <w:tc>
          <w:tcPr>
            <w:tcW w:w="1586"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75560" w:rsidRPr="00800D7B" w:rsidRDefault="00F9010A" w:rsidP="00B75560">
            <w:pPr>
              <w:jc w:val="center"/>
              <w:rPr>
                <w:rFonts w:ascii="Calibri" w:eastAsia="SimSun" w:hAnsi="Calibri" w:cs="Arial"/>
                <w:b/>
                <w:bCs/>
                <w:sz w:val="20"/>
              </w:rPr>
            </w:pPr>
            <w:r w:rsidRPr="00800D7B">
              <w:rPr>
                <w:b/>
                <w:sz w:val="20"/>
              </w:rPr>
              <w:t>UE Scheduling #1</w:t>
            </w:r>
          </w:p>
        </w:tc>
        <w:tc>
          <w:tcPr>
            <w:tcW w:w="1600"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75560" w:rsidRPr="00800D7B" w:rsidRDefault="00F9010A" w:rsidP="00B75560">
            <w:pPr>
              <w:jc w:val="center"/>
              <w:rPr>
                <w:rFonts w:ascii="Calibri" w:eastAsia="SimSun" w:hAnsi="Calibri" w:cs="Arial"/>
                <w:b/>
                <w:bCs/>
                <w:sz w:val="20"/>
              </w:rPr>
            </w:pPr>
            <w:r w:rsidRPr="00800D7B">
              <w:rPr>
                <w:b/>
                <w:sz w:val="20"/>
              </w:rPr>
              <w:t>UE Scheduling #2</w:t>
            </w:r>
          </w:p>
        </w:tc>
      </w:tr>
      <w:tr w:rsidR="00B75560" w:rsidRPr="00B75560" w:rsidTr="00F9010A">
        <w:trPr>
          <w:trHeight w:val="18"/>
          <w:jc w:val="center"/>
        </w:trPr>
        <w:tc>
          <w:tcPr>
            <w:tcW w:w="1224" w:type="dxa"/>
            <w:tcBorders>
              <w:top w:val="single" w:sz="8" w:space="0" w:color="000000"/>
              <w:left w:val="single" w:sz="8" w:space="0" w:color="000000"/>
              <w:bottom w:val="single" w:sz="8" w:space="0" w:color="000000"/>
              <w:right w:val="single" w:sz="8" w:space="0" w:color="000000"/>
            </w:tcBorders>
            <w:shd w:val="clear" w:color="auto" w:fill="EAEFF7"/>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Cell#1@f1</w:t>
            </w:r>
          </w:p>
        </w:tc>
        <w:tc>
          <w:tcPr>
            <w:tcW w:w="1586" w:type="dxa"/>
            <w:tcBorders>
              <w:top w:val="single" w:sz="8" w:space="0" w:color="000000"/>
              <w:left w:val="single" w:sz="8" w:space="0" w:color="000000"/>
              <w:bottom w:val="single" w:sz="8" w:space="0" w:color="000000"/>
              <w:right w:val="single" w:sz="8" w:space="0" w:color="000000"/>
            </w:tcBorders>
            <w:shd w:val="clear" w:color="auto" w:fill="EAEFF7"/>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1</w:t>
            </w:r>
          </w:p>
        </w:tc>
        <w:tc>
          <w:tcPr>
            <w:tcW w:w="1600" w:type="dxa"/>
            <w:tcBorders>
              <w:top w:val="single" w:sz="8" w:space="0" w:color="000000"/>
              <w:left w:val="single" w:sz="8" w:space="0" w:color="000000"/>
              <w:bottom w:val="single" w:sz="8" w:space="0" w:color="000000"/>
              <w:right w:val="single" w:sz="8" w:space="0" w:color="000000"/>
            </w:tcBorders>
            <w:shd w:val="clear" w:color="auto" w:fill="EAEFF7"/>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3</w:t>
            </w:r>
          </w:p>
        </w:tc>
      </w:tr>
      <w:tr w:rsidR="00B75560" w:rsidRPr="00B75560" w:rsidTr="00F9010A">
        <w:trPr>
          <w:trHeight w:val="52"/>
          <w:jc w:val="center"/>
        </w:trPr>
        <w:tc>
          <w:tcPr>
            <w:tcW w:w="1224"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Cell#2@f2</w:t>
            </w:r>
          </w:p>
        </w:tc>
        <w:tc>
          <w:tcPr>
            <w:tcW w:w="1586"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1</w:t>
            </w:r>
          </w:p>
        </w:tc>
        <w:tc>
          <w:tcPr>
            <w:tcW w:w="1600"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7</w:t>
            </w:r>
          </w:p>
        </w:tc>
      </w:tr>
      <w:tr w:rsidR="00B75560" w:rsidRPr="00B75560" w:rsidTr="00F9010A">
        <w:trPr>
          <w:trHeight w:val="18"/>
          <w:jc w:val="center"/>
        </w:trPr>
        <w:tc>
          <w:tcPr>
            <w:tcW w:w="1224" w:type="dxa"/>
            <w:tcBorders>
              <w:top w:val="single" w:sz="8" w:space="0" w:color="000000"/>
              <w:left w:val="single" w:sz="8" w:space="0" w:color="000000"/>
              <w:bottom w:val="single" w:sz="8" w:space="0" w:color="000000"/>
              <w:right w:val="single" w:sz="8" w:space="0" w:color="000000"/>
            </w:tcBorders>
            <w:shd w:val="clear" w:color="auto" w:fill="EAEFF7"/>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Cell#3@f2</w:t>
            </w:r>
          </w:p>
        </w:tc>
        <w:tc>
          <w:tcPr>
            <w:tcW w:w="1586" w:type="dxa"/>
            <w:tcBorders>
              <w:top w:val="single" w:sz="8" w:space="0" w:color="000000"/>
              <w:left w:val="single" w:sz="8" w:space="0" w:color="000000"/>
              <w:bottom w:val="single" w:sz="8" w:space="0" w:color="000000"/>
              <w:right w:val="single" w:sz="8" w:space="0" w:color="000000"/>
            </w:tcBorders>
            <w:shd w:val="clear" w:color="auto" w:fill="EAEFF7"/>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7</w:t>
            </w:r>
          </w:p>
        </w:tc>
        <w:tc>
          <w:tcPr>
            <w:tcW w:w="1600" w:type="dxa"/>
            <w:tcBorders>
              <w:top w:val="single" w:sz="8" w:space="0" w:color="000000"/>
              <w:left w:val="single" w:sz="8" w:space="0" w:color="000000"/>
              <w:bottom w:val="single" w:sz="8" w:space="0" w:color="000000"/>
              <w:right w:val="single" w:sz="8" w:space="0" w:color="000000"/>
            </w:tcBorders>
            <w:shd w:val="clear" w:color="auto" w:fill="EAEFF7"/>
            <w:tcMar>
              <w:top w:w="72" w:type="dxa"/>
              <w:left w:w="144" w:type="dxa"/>
              <w:bottom w:w="72" w:type="dxa"/>
              <w:right w:w="144" w:type="dxa"/>
            </w:tcMar>
            <w:hideMark/>
          </w:tcPr>
          <w:p w:rsidR="00B75560" w:rsidRPr="00800D7B" w:rsidRDefault="00B75560" w:rsidP="00B75560">
            <w:pPr>
              <w:jc w:val="center"/>
              <w:rPr>
                <w:rFonts w:ascii="Calibri" w:eastAsia="SimSun" w:hAnsi="Calibri" w:cs="Arial"/>
                <w:b/>
                <w:bCs/>
                <w:sz w:val="20"/>
              </w:rPr>
            </w:pPr>
            <w:r w:rsidRPr="00800D7B">
              <w:rPr>
                <w:rFonts w:ascii="Calibri" w:eastAsia="SimSun" w:hAnsi="Calibri" w:cs="Arial"/>
                <w:b/>
                <w:bCs/>
                <w:sz w:val="20"/>
              </w:rPr>
              <w:t>2</w:t>
            </w:r>
          </w:p>
        </w:tc>
      </w:tr>
    </w:tbl>
    <w:p w:rsidR="00B75560" w:rsidRDefault="00B75560" w:rsidP="00B75560">
      <w:pPr>
        <w:jc w:val="center"/>
        <w:rPr>
          <w:rFonts w:ascii="Calibri" w:eastAsia="SimSun" w:hAnsi="Calibri" w:cs="Arial"/>
          <w:b/>
          <w:bCs/>
        </w:rPr>
      </w:pPr>
    </w:p>
    <w:p w:rsidR="00B11729" w:rsidRDefault="00B11729" w:rsidP="00B11729">
      <w:pPr>
        <w:jc w:val="both"/>
      </w:pPr>
      <w:r>
        <w:t>However, the UE scheduling is unknown to network, so the actual number of missed DRS occasions is also unknown to network. As the result, network will not know the actual requirements for intra-/inter-frequency measurement period</w:t>
      </w:r>
    </w:p>
    <w:p w:rsidR="00B11729" w:rsidRDefault="00B11729" w:rsidP="00B11729">
      <w:pPr>
        <w:jc w:val="both"/>
        <w:rPr>
          <w:rFonts w:ascii="Calibri" w:eastAsia="SimSun" w:hAnsi="Calibri" w:cs="Arial"/>
          <w:b/>
          <w:bCs/>
        </w:rPr>
      </w:pPr>
      <w:bookmarkStart w:id="5" w:name="_Ref21025400"/>
      <w:r w:rsidRPr="009F1BCD">
        <w:rPr>
          <w:rFonts w:ascii="Calibri" w:eastAsia="SimSun" w:hAnsi="Calibri" w:cs="Arial"/>
          <w:b/>
          <w:bCs/>
        </w:rPr>
        <w:t xml:space="preserve">Observation </w:t>
      </w:r>
      <w:r w:rsidR="00B5307F" w:rsidRPr="009F1BCD">
        <w:rPr>
          <w:rFonts w:ascii="Calibri" w:eastAsia="SimSun" w:hAnsi="Calibri" w:cs="Arial"/>
          <w:b/>
          <w:bCs/>
        </w:rPr>
        <w:fldChar w:fldCharType="begin"/>
      </w:r>
      <w:r w:rsidRPr="009F1BCD">
        <w:rPr>
          <w:rFonts w:ascii="Calibri" w:eastAsia="SimSun" w:hAnsi="Calibri" w:cs="Arial"/>
          <w:b/>
          <w:bCs/>
        </w:rPr>
        <w:instrText xml:space="preserve"> SEQ Observation \* ARABIC </w:instrText>
      </w:r>
      <w:r w:rsidR="00B5307F" w:rsidRPr="009F1BCD">
        <w:rPr>
          <w:rFonts w:ascii="Calibri" w:eastAsia="SimSun" w:hAnsi="Calibri" w:cs="Arial"/>
          <w:b/>
          <w:bCs/>
        </w:rPr>
        <w:fldChar w:fldCharType="separate"/>
      </w:r>
      <w:r w:rsidR="00C26442">
        <w:rPr>
          <w:rFonts w:ascii="Calibri" w:eastAsia="SimSun" w:hAnsi="Calibri" w:cs="Arial"/>
          <w:b/>
          <w:bCs/>
          <w:noProof/>
        </w:rPr>
        <w:t>3</w:t>
      </w:r>
      <w:r w:rsidR="00B5307F" w:rsidRPr="009F1BCD">
        <w:rPr>
          <w:rFonts w:ascii="Calibri" w:eastAsia="SimSun" w:hAnsi="Calibri" w:cs="Arial"/>
          <w:b/>
          <w:bCs/>
        </w:rPr>
        <w:fldChar w:fldCharType="end"/>
      </w:r>
      <w:r w:rsidRPr="009F1BCD">
        <w:rPr>
          <w:rFonts w:ascii="Calibri" w:eastAsia="SimSun" w:hAnsi="Calibri" w:cs="Arial"/>
          <w:b/>
          <w:bCs/>
        </w:rPr>
        <w:t xml:space="preserve">: </w:t>
      </w:r>
      <w:r w:rsidRPr="0028623E">
        <w:rPr>
          <w:rFonts w:ascii="Calibri" w:eastAsia="SimSun" w:hAnsi="Calibri" w:cs="Arial"/>
          <w:b/>
          <w:bCs/>
        </w:rPr>
        <w:t xml:space="preserve">The </w:t>
      </w:r>
      <w:r>
        <w:rPr>
          <w:rFonts w:ascii="Calibri" w:eastAsia="SimSun" w:hAnsi="Calibri" w:cs="Arial"/>
          <w:b/>
          <w:bCs/>
        </w:rPr>
        <w:t xml:space="preserve">actual </w:t>
      </w:r>
      <w:r w:rsidRPr="0028623E">
        <w:rPr>
          <w:rFonts w:ascii="Calibri" w:eastAsia="SimSun" w:hAnsi="Calibri" w:cs="Arial"/>
          <w:b/>
          <w:bCs/>
        </w:rPr>
        <w:t xml:space="preserve">intra-/inter-frequency measurement period requirements are </w:t>
      </w:r>
      <w:r>
        <w:rPr>
          <w:rFonts w:ascii="Calibri" w:eastAsia="SimSun" w:hAnsi="Calibri" w:cs="Arial"/>
          <w:b/>
          <w:bCs/>
        </w:rPr>
        <w:t>unknown to network, since the requirements are depending on UE scheduling results, which is unknown to network.</w:t>
      </w:r>
      <w:bookmarkEnd w:id="5"/>
    </w:p>
    <w:p w:rsidR="00BA0C69" w:rsidRPr="00290C60" w:rsidRDefault="00037356" w:rsidP="00BA0C69">
      <w:r>
        <w:t xml:space="preserve">It should be noted that UE will not know the LBT results before it arranges its measurement scheduling, and UE scheduling should not be </w:t>
      </w:r>
      <w:r w:rsidR="00BA0C69">
        <w:t xml:space="preserve">dynamically </w:t>
      </w:r>
      <w:r>
        <w:t>changed by LBT.</w:t>
      </w:r>
      <w:r w:rsidR="00BA0C69">
        <w:t xml:space="preserve"> Therefore, it proposes to </w:t>
      </w:r>
      <w:r w:rsidR="00964003">
        <w:t xml:space="preserve">reuse the definition of R15 CSSF.  </w:t>
      </w:r>
    </w:p>
    <w:p w:rsidR="00AE6312" w:rsidRPr="009F1BCD" w:rsidRDefault="00AE6312" w:rsidP="00AE6312">
      <w:pPr>
        <w:pStyle w:val="af1"/>
        <w:jc w:val="both"/>
        <w:rPr>
          <w:rFonts w:ascii="Calibri" w:eastAsia="SimSun" w:hAnsi="Calibri" w:cs="Arial"/>
          <w:bCs/>
          <w:sz w:val="22"/>
          <w:szCs w:val="22"/>
        </w:rPr>
      </w:pPr>
      <w:bookmarkStart w:id="6" w:name="_Ref21025407"/>
      <w:r w:rsidRPr="009F1BCD">
        <w:rPr>
          <w:rFonts w:ascii="Calibri" w:eastAsia="SimSun" w:hAnsi="Calibri" w:cs="Arial"/>
          <w:bCs/>
          <w:sz w:val="22"/>
          <w:szCs w:val="22"/>
        </w:rPr>
        <w:t xml:space="preserve">Proposal </w:t>
      </w:r>
      <w:r w:rsidR="00B5307F" w:rsidRPr="009F1BCD">
        <w:rPr>
          <w:rFonts w:ascii="Calibri" w:eastAsia="SimSun" w:hAnsi="Calibri" w:cs="Arial"/>
          <w:bCs/>
          <w:sz w:val="22"/>
          <w:szCs w:val="22"/>
        </w:rPr>
        <w:fldChar w:fldCharType="begin"/>
      </w:r>
      <w:r w:rsidRPr="009F1BCD">
        <w:rPr>
          <w:rFonts w:ascii="Calibri" w:eastAsia="SimSun" w:hAnsi="Calibri" w:cs="Arial"/>
          <w:bCs/>
          <w:sz w:val="22"/>
          <w:szCs w:val="22"/>
        </w:rPr>
        <w:instrText xml:space="preserve"> SEQ Proposal \* ARABIC </w:instrText>
      </w:r>
      <w:r w:rsidR="00B5307F" w:rsidRPr="009F1BCD">
        <w:rPr>
          <w:rFonts w:ascii="Calibri" w:eastAsia="SimSun" w:hAnsi="Calibri" w:cs="Arial"/>
          <w:bCs/>
          <w:sz w:val="22"/>
          <w:szCs w:val="22"/>
        </w:rPr>
        <w:fldChar w:fldCharType="separate"/>
      </w:r>
      <w:r w:rsidR="00C26442">
        <w:rPr>
          <w:rFonts w:ascii="Calibri" w:eastAsia="SimSun" w:hAnsi="Calibri" w:cs="Arial"/>
          <w:bCs/>
          <w:noProof/>
          <w:sz w:val="22"/>
          <w:szCs w:val="22"/>
        </w:rPr>
        <w:t>1</w:t>
      </w:r>
      <w:r w:rsidR="00B5307F" w:rsidRPr="009F1BCD">
        <w:rPr>
          <w:rFonts w:ascii="Calibri" w:eastAsia="SimSun" w:hAnsi="Calibri" w:cs="Arial"/>
          <w:bCs/>
          <w:sz w:val="22"/>
          <w:szCs w:val="22"/>
        </w:rPr>
        <w:fldChar w:fldCharType="end"/>
      </w:r>
      <w:r w:rsidRPr="009F1BCD">
        <w:rPr>
          <w:rFonts w:ascii="Calibri" w:eastAsia="SimSun" w:hAnsi="Calibri" w:cs="Arial"/>
          <w:bCs/>
          <w:sz w:val="22"/>
          <w:szCs w:val="22"/>
        </w:rPr>
        <w:t xml:space="preserve">: For </w:t>
      </w:r>
      <w:r w:rsidR="00E64139" w:rsidRPr="00E64139">
        <w:rPr>
          <w:rFonts w:ascii="Calibri" w:eastAsia="SimSun" w:hAnsi="Calibri" w:cs="Arial"/>
          <w:bCs/>
          <w:sz w:val="22"/>
          <w:szCs w:val="22"/>
        </w:rPr>
        <w:t>intra-/inter-frequency measurement period</w:t>
      </w:r>
      <w:r w:rsidR="00E64139">
        <w:rPr>
          <w:rFonts w:ascii="Calibri" w:eastAsia="SimSun" w:hAnsi="Calibri" w:cs="Arial"/>
          <w:bCs/>
          <w:sz w:val="22"/>
          <w:szCs w:val="22"/>
        </w:rPr>
        <w:t xml:space="preserve"> for NR-U, the definition of </w:t>
      </w:r>
      <w:r w:rsidR="00E64139" w:rsidRPr="00E64139">
        <w:rPr>
          <w:rFonts w:ascii="Calibri" w:eastAsia="SimSun" w:hAnsi="Calibri" w:cs="Arial"/>
          <w:bCs/>
          <w:sz w:val="22"/>
          <w:szCs w:val="22"/>
        </w:rPr>
        <w:t>R15 CSSF</w:t>
      </w:r>
      <w:r w:rsidR="00E64139">
        <w:rPr>
          <w:rFonts w:ascii="Calibri" w:eastAsia="SimSun" w:hAnsi="Calibri" w:cs="Arial"/>
          <w:bCs/>
          <w:sz w:val="22"/>
          <w:szCs w:val="22"/>
        </w:rPr>
        <w:t xml:space="preserve"> is </w:t>
      </w:r>
      <w:r w:rsidR="00C26442" w:rsidRPr="00C26442">
        <w:rPr>
          <w:rFonts w:ascii="Calibri" w:eastAsia="SimSun" w:hAnsi="Calibri" w:cs="Arial"/>
          <w:bCs/>
          <w:sz w:val="22"/>
          <w:szCs w:val="22"/>
        </w:rPr>
        <w:t>not changed due to LBT failure</w:t>
      </w:r>
      <w:r w:rsidR="00E64139">
        <w:rPr>
          <w:rFonts w:ascii="Calibri" w:eastAsia="SimSun" w:hAnsi="Calibri" w:cs="Arial"/>
          <w:bCs/>
          <w:sz w:val="22"/>
          <w:szCs w:val="22"/>
        </w:rPr>
        <w:t>.</w:t>
      </w:r>
      <w:bookmarkEnd w:id="6"/>
    </w:p>
    <w:p w:rsidR="00AE6312" w:rsidRPr="00FC02EE" w:rsidRDefault="00AE6312" w:rsidP="00B75560">
      <w:pPr>
        <w:jc w:val="center"/>
        <w:rPr>
          <w:rFonts w:ascii="Calibri" w:eastAsia="SimSun" w:hAnsi="Calibri" w:cs="Arial"/>
          <w:b/>
          <w:bCs/>
        </w:rPr>
      </w:pPr>
    </w:p>
    <w:p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rsidR="00687081" w:rsidRDefault="006F7557" w:rsidP="00C26442">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BB6E93">
        <w:t xml:space="preserve">the requirements for </w:t>
      </w:r>
      <w:r w:rsidR="000E7C3D">
        <w:t>intra-/inter-frequency</w:t>
      </w:r>
      <w:r w:rsidR="000E7C3D" w:rsidRPr="00D84218">
        <w:t xml:space="preserve"> </w:t>
      </w:r>
      <w:r w:rsidR="000E7C3D">
        <w:t>measurement period for NR-U have been</w:t>
      </w:r>
      <w:r w:rsidR="00660B4F" w:rsidRPr="002D717F">
        <w:rPr>
          <w:szCs w:val="20"/>
        </w:rPr>
        <w:t xml:space="preserve"> discussed</w:t>
      </w:r>
      <w:r w:rsidR="000D3205" w:rsidRPr="002D717F">
        <w:t>. We have the following observations and proposals</w:t>
      </w:r>
      <w:r w:rsidR="007E7E51" w:rsidRPr="002D717F">
        <w:t>:</w:t>
      </w:r>
    </w:p>
    <w:p w:rsidR="000E7C3D" w:rsidRPr="007903EC" w:rsidRDefault="00D31512" w:rsidP="00C26442">
      <w:pPr>
        <w:pStyle w:val="af1"/>
        <w:jc w:val="both"/>
        <w:rPr>
          <w:sz w:val="22"/>
          <w:szCs w:val="22"/>
        </w:rPr>
      </w:pPr>
      <w:r>
        <w:fldChar w:fldCharType="begin"/>
      </w:r>
      <w:r>
        <w:instrText xml:space="preserve"> REF _Ref21025392 \h  \* MERGEFORMAT </w:instrText>
      </w:r>
      <w:r>
        <w:fldChar w:fldCharType="separate"/>
      </w:r>
      <w:r w:rsidR="00C26442" w:rsidRPr="00C26442">
        <w:rPr>
          <w:rFonts w:ascii="Calibri" w:eastAsia="SimSun" w:hAnsi="Calibri" w:cs="Arial"/>
          <w:bCs/>
          <w:sz w:val="22"/>
          <w:szCs w:val="22"/>
        </w:rPr>
        <w:t xml:space="preserve">Observation </w:t>
      </w:r>
      <w:r w:rsidR="00C26442" w:rsidRPr="00C26442">
        <w:rPr>
          <w:rFonts w:ascii="Calibri" w:eastAsia="SimSun" w:hAnsi="Calibri" w:cs="Arial"/>
          <w:bCs/>
          <w:noProof/>
          <w:sz w:val="22"/>
          <w:szCs w:val="22"/>
        </w:rPr>
        <w:t>1</w:t>
      </w:r>
      <w:r w:rsidR="00C26442" w:rsidRPr="00C26442">
        <w:rPr>
          <w:rFonts w:ascii="Calibri" w:eastAsia="SimSun" w:hAnsi="Calibri" w:cs="Arial"/>
          <w:bCs/>
          <w:sz w:val="22"/>
          <w:szCs w:val="22"/>
        </w:rPr>
        <w:t>: The intra-/inter-frequency measurement period requirements are cell-specific.</w:t>
      </w:r>
      <w:r>
        <w:fldChar w:fldCharType="end"/>
      </w:r>
    </w:p>
    <w:p w:rsidR="007903EC" w:rsidRPr="007903EC" w:rsidRDefault="00D31512" w:rsidP="00C26442">
      <w:pPr>
        <w:jc w:val="both"/>
        <w:rPr>
          <w:b/>
        </w:rPr>
      </w:pPr>
      <w:r>
        <w:fldChar w:fldCharType="begin"/>
      </w:r>
      <w:r>
        <w:instrText xml:space="preserve"> REF _Ref21025396 \h  \* MERGEFORMAT </w:instrText>
      </w:r>
      <w:r>
        <w:fldChar w:fldCharType="separate"/>
      </w:r>
      <w:r w:rsidR="00C26442" w:rsidRPr="009F1BCD">
        <w:rPr>
          <w:rFonts w:ascii="Calibri" w:eastAsia="SimSun" w:hAnsi="Calibri" w:cs="Arial"/>
          <w:b/>
          <w:bCs/>
        </w:rPr>
        <w:t xml:space="preserve">Observation </w:t>
      </w:r>
      <w:r w:rsidR="00C26442">
        <w:rPr>
          <w:rFonts w:ascii="Calibri" w:eastAsia="SimSun" w:hAnsi="Calibri" w:cs="Arial"/>
          <w:b/>
          <w:bCs/>
          <w:noProof/>
        </w:rPr>
        <w:t>2</w:t>
      </w:r>
      <w:r w:rsidR="00C26442" w:rsidRPr="009F1BCD">
        <w:rPr>
          <w:rFonts w:ascii="Calibri" w:eastAsia="SimSun" w:hAnsi="Calibri" w:cs="Arial"/>
          <w:b/>
          <w:bCs/>
        </w:rPr>
        <w:t xml:space="preserve">: </w:t>
      </w:r>
      <w:r w:rsidR="00C26442" w:rsidRPr="0028623E">
        <w:rPr>
          <w:rFonts w:ascii="Calibri" w:eastAsia="SimSun" w:hAnsi="Calibri" w:cs="Arial"/>
          <w:b/>
          <w:bCs/>
        </w:rPr>
        <w:t xml:space="preserve">The intra-/inter-frequency measurement period requirements are </w:t>
      </w:r>
      <w:r w:rsidR="00C26442">
        <w:rPr>
          <w:rFonts w:ascii="Calibri" w:eastAsia="SimSun" w:hAnsi="Calibri" w:cs="Arial"/>
          <w:b/>
          <w:bCs/>
        </w:rPr>
        <w:t>depending on UE scheduling results</w:t>
      </w:r>
      <w:r w:rsidR="00C26442" w:rsidRPr="009F1BCD">
        <w:rPr>
          <w:rFonts w:ascii="Calibri" w:eastAsia="SimSun" w:hAnsi="Calibri" w:cs="Arial"/>
          <w:b/>
          <w:bCs/>
        </w:rPr>
        <w:t>.</w:t>
      </w:r>
      <w:r>
        <w:fldChar w:fldCharType="end"/>
      </w:r>
    </w:p>
    <w:p w:rsidR="007903EC" w:rsidRPr="007903EC" w:rsidRDefault="00D31512" w:rsidP="00C26442">
      <w:pPr>
        <w:jc w:val="both"/>
        <w:rPr>
          <w:b/>
        </w:rPr>
      </w:pPr>
      <w:r>
        <w:fldChar w:fldCharType="begin"/>
      </w:r>
      <w:r>
        <w:instrText xml:space="preserve"> REF _Ref21025400 \h  \* MERGEFORMAT </w:instrText>
      </w:r>
      <w:r>
        <w:fldChar w:fldCharType="separate"/>
      </w:r>
      <w:r w:rsidR="00C26442" w:rsidRPr="009F1BCD">
        <w:rPr>
          <w:rFonts w:ascii="Calibri" w:eastAsia="SimSun" w:hAnsi="Calibri" w:cs="Arial"/>
          <w:b/>
          <w:bCs/>
        </w:rPr>
        <w:t xml:space="preserve">Observation </w:t>
      </w:r>
      <w:r w:rsidR="00C26442">
        <w:rPr>
          <w:rFonts w:ascii="Calibri" w:eastAsia="SimSun" w:hAnsi="Calibri" w:cs="Arial"/>
          <w:b/>
          <w:bCs/>
          <w:noProof/>
        </w:rPr>
        <w:t>3</w:t>
      </w:r>
      <w:r w:rsidR="00C26442" w:rsidRPr="009F1BCD">
        <w:rPr>
          <w:rFonts w:ascii="Calibri" w:eastAsia="SimSun" w:hAnsi="Calibri" w:cs="Arial"/>
          <w:b/>
          <w:bCs/>
        </w:rPr>
        <w:t xml:space="preserve">: </w:t>
      </w:r>
      <w:r w:rsidR="00C26442" w:rsidRPr="0028623E">
        <w:rPr>
          <w:rFonts w:ascii="Calibri" w:eastAsia="SimSun" w:hAnsi="Calibri" w:cs="Arial"/>
          <w:b/>
          <w:bCs/>
        </w:rPr>
        <w:t xml:space="preserve">The </w:t>
      </w:r>
      <w:r w:rsidR="00C26442">
        <w:rPr>
          <w:rFonts w:ascii="Calibri" w:eastAsia="SimSun" w:hAnsi="Calibri" w:cs="Arial"/>
          <w:b/>
          <w:bCs/>
        </w:rPr>
        <w:t xml:space="preserve">actual </w:t>
      </w:r>
      <w:r w:rsidR="00C26442" w:rsidRPr="0028623E">
        <w:rPr>
          <w:rFonts w:ascii="Calibri" w:eastAsia="SimSun" w:hAnsi="Calibri" w:cs="Arial"/>
          <w:b/>
          <w:bCs/>
        </w:rPr>
        <w:t xml:space="preserve">intra-/inter-frequency measurement period requirements are </w:t>
      </w:r>
      <w:r w:rsidR="00C26442">
        <w:rPr>
          <w:rFonts w:ascii="Calibri" w:eastAsia="SimSun" w:hAnsi="Calibri" w:cs="Arial"/>
          <w:b/>
          <w:bCs/>
        </w:rPr>
        <w:t>unknown to network, since the requirements are depending on UE scheduling results, which is unknown to network.</w:t>
      </w:r>
      <w:r>
        <w:fldChar w:fldCharType="end"/>
      </w:r>
    </w:p>
    <w:p w:rsidR="007903EC" w:rsidRPr="007903EC" w:rsidRDefault="007903EC" w:rsidP="00C26442">
      <w:pPr>
        <w:jc w:val="both"/>
        <w:rPr>
          <w:b/>
        </w:rPr>
      </w:pPr>
      <w:r w:rsidRPr="007903EC">
        <w:rPr>
          <w:b/>
        </w:rPr>
        <w:fldChar w:fldCharType="begin"/>
      </w:r>
      <w:r w:rsidRPr="007903EC">
        <w:rPr>
          <w:b/>
        </w:rPr>
        <w:instrText xml:space="preserve"> REF _Ref21025407 \h  \* MERGEFORMAT </w:instrText>
      </w:r>
      <w:r w:rsidRPr="007903EC">
        <w:rPr>
          <w:b/>
        </w:rPr>
      </w:r>
      <w:r w:rsidRPr="007903EC">
        <w:rPr>
          <w:b/>
        </w:rPr>
        <w:fldChar w:fldCharType="separate"/>
      </w:r>
      <w:r w:rsidR="00C26442" w:rsidRPr="00C26442">
        <w:rPr>
          <w:rFonts w:ascii="Calibri" w:eastAsia="SimSun" w:hAnsi="Calibri" w:cs="Arial"/>
          <w:b/>
          <w:bCs/>
        </w:rPr>
        <w:t xml:space="preserve">Proposal </w:t>
      </w:r>
      <w:r w:rsidR="00C26442" w:rsidRPr="00C26442">
        <w:rPr>
          <w:rFonts w:ascii="Calibri" w:eastAsia="SimSun" w:hAnsi="Calibri" w:cs="Arial"/>
          <w:b/>
          <w:bCs/>
          <w:noProof/>
        </w:rPr>
        <w:t>1</w:t>
      </w:r>
      <w:r w:rsidR="00C26442" w:rsidRPr="00C26442">
        <w:rPr>
          <w:rFonts w:ascii="Calibri" w:eastAsia="SimSun" w:hAnsi="Calibri" w:cs="Arial"/>
          <w:b/>
          <w:bCs/>
        </w:rPr>
        <w:t>: For intra-/inter-frequency measurement period for NR-U, the definition of R15 CSSF is not changed due to LBT failure.</w:t>
      </w:r>
      <w:r w:rsidRPr="007903EC">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65E18" w:rsidRDefault="00A65E18" w:rsidP="00A65E18">
      <w:pPr>
        <w:rPr>
          <w:rFonts w:eastAsia="新細明體" w:cs="Calibri"/>
          <w:color w:val="0D0D0D"/>
        </w:rPr>
      </w:pPr>
      <w:r w:rsidRPr="00F54159">
        <w:rPr>
          <w:lang w:val="en-GB" w:eastAsia="en-US"/>
        </w:rPr>
        <w:t xml:space="preserve">[1] </w:t>
      </w:r>
      <w:r w:rsidR="006734ED" w:rsidRPr="006734ED">
        <w:rPr>
          <w:lang w:val="en-GB" w:eastAsia="en-US"/>
        </w:rPr>
        <w:t>R4-1909988</w:t>
      </w:r>
      <w:r w:rsidR="006734ED">
        <w:rPr>
          <w:rFonts w:eastAsia="新細明體" w:cs="Calibri"/>
          <w:color w:val="0D0D0D"/>
        </w:rPr>
        <w:t xml:space="preserve">, </w:t>
      </w:r>
      <w:r w:rsidR="006734ED" w:rsidRPr="006734ED">
        <w:rPr>
          <w:rFonts w:eastAsia="新細明體" w:cs="Calibri"/>
          <w:color w:val="0D0D0D"/>
        </w:rPr>
        <w:t>WF on RRM Requirements for NR-U</w:t>
      </w:r>
      <w:r w:rsidR="006734ED">
        <w:rPr>
          <w:rFonts w:eastAsia="新細明體" w:cs="Calibri"/>
          <w:color w:val="0D0D0D"/>
        </w:rPr>
        <w:t xml:space="preserve">, </w:t>
      </w:r>
      <w:r w:rsidR="006734ED" w:rsidRPr="006734ED">
        <w:rPr>
          <w:rFonts w:eastAsia="新細明體" w:cs="Calibri"/>
          <w:color w:val="0D0D0D"/>
        </w:rPr>
        <w:t>Ericsson</w:t>
      </w:r>
      <w:r w:rsidRPr="00F54159">
        <w:rPr>
          <w:rFonts w:eastAsia="新細明體" w:cs="Calibri"/>
          <w:color w:val="0D0D0D"/>
        </w:rPr>
        <w:t>.</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356"/>
    <w:rsid w:val="00037425"/>
    <w:rsid w:val="00037A53"/>
    <w:rsid w:val="00037F02"/>
    <w:rsid w:val="00037F0A"/>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E7C3D"/>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A4"/>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23E"/>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0C60"/>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6E04"/>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97E"/>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F4"/>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3F9"/>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3EC"/>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0D7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BEB"/>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003"/>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BCD"/>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12"/>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134"/>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729"/>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07F"/>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067"/>
    <w:rsid w:val="00B7229F"/>
    <w:rsid w:val="00B7244D"/>
    <w:rsid w:val="00B72521"/>
    <w:rsid w:val="00B7267A"/>
    <w:rsid w:val="00B7288F"/>
    <w:rsid w:val="00B72F96"/>
    <w:rsid w:val="00B73176"/>
    <w:rsid w:val="00B73248"/>
    <w:rsid w:val="00B73286"/>
    <w:rsid w:val="00B73AA5"/>
    <w:rsid w:val="00B73B8A"/>
    <w:rsid w:val="00B74751"/>
    <w:rsid w:val="00B75560"/>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C6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442"/>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512"/>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490"/>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A0"/>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139"/>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3CD"/>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10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952"/>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49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D449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449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4175472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D0583-D64B-438A-B74C-CE134CAEE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